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5EAE5" w14:textId="77777777" w:rsidR="005477A4" w:rsidRDefault="00284E6B">
      <w:p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noProof/>
          <w:color w:val="000000"/>
          <w:szCs w:val="20"/>
        </w:rPr>
        <mc:AlternateContent>
          <mc:Choice Requires="wpg">
            <w:drawing>
              <wp:inline distT="0" distB="0" distL="0" distR="0" wp14:anchorId="0089B06E" wp14:editId="3D421B3E">
                <wp:extent cx="5760720" cy="2205990"/>
                <wp:effectExtent l="0" t="0" r="508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60720" cy="220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6pt;height:173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14:paraId="4D614169" w14:textId="77777777" w:rsidR="005477A4" w:rsidRDefault="005477A4">
      <w:pPr>
        <w:spacing w:after="120"/>
        <w:rPr>
          <w:rFonts w:ascii="Calibri" w:hAnsi="Calibri" w:cs="Calibri"/>
          <w:color w:val="000000"/>
          <w:szCs w:val="20"/>
        </w:rPr>
      </w:pPr>
    </w:p>
    <w:p w14:paraId="27173A7A" w14:textId="77777777" w:rsidR="005477A4" w:rsidRDefault="00284E6B">
      <w:pPr>
        <w:pStyle w:val="Standard"/>
        <w:spacing w:after="120" w:line="240" w:lineRule="auto"/>
        <w:jc w:val="both"/>
      </w:pPr>
      <w:r>
        <w:t>APPEL À CANDIDATURE</w:t>
      </w:r>
    </w:p>
    <w:p w14:paraId="412B3249" w14:textId="77777777" w:rsidR="005477A4" w:rsidRDefault="00284E6B">
      <w:pPr>
        <w:pStyle w:val="Standard"/>
        <w:spacing w:after="120" w:line="240" w:lineRule="auto"/>
        <w:jc w:val="both"/>
      </w:pPr>
      <w:r>
        <w:tab/>
        <w:t>Directeur(rice) de l’Infrastructure de Recherche Littorale &amp; Côtière IR ILICO</w:t>
      </w:r>
    </w:p>
    <w:p w14:paraId="3134FDCD" w14:textId="77777777" w:rsidR="005477A4" w:rsidRDefault="005477A4">
      <w:pPr>
        <w:pStyle w:val="Standard"/>
        <w:spacing w:after="120" w:line="240" w:lineRule="auto"/>
        <w:jc w:val="both"/>
      </w:pPr>
    </w:p>
    <w:p w14:paraId="58F96ECC" w14:textId="77777777" w:rsidR="005477A4" w:rsidRDefault="00284E6B">
      <w:pPr>
        <w:pStyle w:val="Standard"/>
        <w:spacing w:after="120" w:line="240" w:lineRule="auto"/>
        <w:jc w:val="both"/>
        <w:rPr>
          <w:b/>
          <w:bCs/>
        </w:rPr>
      </w:pPr>
      <w:r>
        <w:rPr>
          <w:b/>
          <w:bCs/>
        </w:rPr>
        <w:t>Contexte</w:t>
      </w:r>
    </w:p>
    <w:p w14:paraId="741C7354" w14:textId="0DE2BC79" w:rsidR="005477A4" w:rsidRDefault="00284E6B">
      <w:pPr>
        <w:pStyle w:val="Standard"/>
        <w:spacing w:after="0" w:line="240" w:lineRule="auto"/>
        <w:jc w:val="both"/>
      </w:pPr>
      <w:r w:rsidRPr="00E103C5">
        <w:t xml:space="preserve">Inscrite depuis 2016, sur la feuille de route nationale des infrastructures de recherche, l'Infrastructure de recherche Littorale et Côtière </w:t>
      </w:r>
      <w:r w:rsidRPr="00E103C5">
        <w:t>(IR ILICO) a pour objectif d'observer et de comprendre l’évolution des milieux et des écosystèmes littoraux et côtiers. ILICO fédère neuf services d’observation labellisés « Services Nationaux d’Observation » (SNO), qui mesurent sur le long terme les param</w:t>
      </w:r>
      <w:r w:rsidRPr="00E103C5">
        <w:t>ètres essentiels d’évolution des systèmes littoraux et côtiers et mettent à disposition ces données à toute la communauté scientifique. ILICO pilote également un réseau d’animation scientifique composé des laboratoires qui mènent une recherche sur les mili</w:t>
      </w:r>
      <w:r w:rsidRPr="00E103C5">
        <w:t>eux marins côtiers et littoraux, implantés en France métropolitaine et en outre-mer.</w:t>
      </w:r>
    </w:p>
    <w:p w14:paraId="02815AF3" w14:textId="77777777" w:rsidR="005477A4" w:rsidRDefault="005477A4">
      <w:pPr>
        <w:pStyle w:val="Standard"/>
        <w:spacing w:after="120" w:line="240" w:lineRule="auto"/>
        <w:jc w:val="both"/>
      </w:pPr>
      <w:bookmarkStart w:id="0" w:name="_GoBack"/>
      <w:bookmarkEnd w:id="0"/>
    </w:p>
    <w:p w14:paraId="378AD274" w14:textId="77777777" w:rsidR="005477A4" w:rsidRDefault="00284E6B">
      <w:pPr>
        <w:pStyle w:val="Standard"/>
        <w:spacing w:after="120"/>
        <w:jc w:val="both"/>
        <w:rPr>
          <w:b/>
          <w:bCs/>
        </w:rPr>
      </w:pPr>
      <w:r>
        <w:rPr>
          <w:b/>
          <w:bCs/>
        </w:rPr>
        <w:t xml:space="preserve">Les grandes missions confiées à l’IR ILICO sont de : </w:t>
      </w:r>
    </w:p>
    <w:p w14:paraId="63B86C21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>• Acquérir des données d’observation sur les milieux marins littoraux et côtiers pour répondre aux grands enjeux sci</w:t>
      </w:r>
      <w:r>
        <w:t>entifiques et sociétaux associés à ces milieux.</w:t>
      </w:r>
    </w:p>
    <w:p w14:paraId="3519237A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>• Optimiser la mise en cohérence des réseaux d’observation</w:t>
      </w:r>
    </w:p>
    <w:p w14:paraId="2072D1F8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 xml:space="preserve">• Contribuer au transfert et la valorisation des données en lien avec les pôles de données et de service ODATIS et THEIA de l’IR Pôles de données du </w:t>
      </w:r>
      <w:r>
        <w:t>système Terre (IR Data Terra).</w:t>
      </w:r>
    </w:p>
    <w:p w14:paraId="6FEDD7FB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>• Fédérer et valoriser les compétences des équipes françaises pour positionner l’expertise nationale en observation côtière et littorale dans le contexte européen</w:t>
      </w:r>
    </w:p>
    <w:p w14:paraId="12839D91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>• Contribuer aux actions d’animation et de prospective scienti</w:t>
      </w:r>
      <w:r>
        <w:t>fique de la communauté de la recherche sur les milieux marins littoraux et côtiers.</w:t>
      </w:r>
    </w:p>
    <w:p w14:paraId="5E406E02" w14:textId="77777777" w:rsidR="005477A4" w:rsidRDefault="00284E6B">
      <w:pPr>
        <w:pStyle w:val="Standard"/>
        <w:spacing w:after="120" w:line="240" w:lineRule="auto"/>
        <w:ind w:left="316"/>
        <w:jc w:val="both"/>
      </w:pPr>
      <w:r>
        <w:t>• Renforcer les compétences et les échanges entre les communautés scientifiques intéressées par ces milieux.</w:t>
      </w:r>
    </w:p>
    <w:p w14:paraId="68C9349E" w14:textId="77777777" w:rsidR="005477A4" w:rsidRDefault="005477A4">
      <w:pPr>
        <w:pStyle w:val="Standard"/>
        <w:spacing w:after="120" w:line="240" w:lineRule="auto"/>
        <w:ind w:left="316"/>
        <w:jc w:val="both"/>
      </w:pPr>
    </w:p>
    <w:p w14:paraId="09F46ED6" w14:textId="77777777" w:rsidR="005477A4" w:rsidRDefault="00284E6B">
      <w:pPr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Organisation de l’IR ILICO </w:t>
      </w:r>
    </w:p>
    <w:p w14:paraId="014CCEA1" w14:textId="77777777" w:rsidR="005477A4" w:rsidRDefault="005477A4">
      <w:pPr>
        <w:rPr>
          <w:rFonts w:ascii="Calibri" w:hAnsi="Calibri" w:cs="Calibri"/>
          <w:color w:val="000000"/>
          <w:szCs w:val="20"/>
        </w:rPr>
      </w:pPr>
    </w:p>
    <w:p w14:paraId="7A9FA384" w14:textId="77777777" w:rsidR="005477A4" w:rsidRDefault="00284E6B">
      <w:p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La direction de l’IR ILICO est co</w:t>
      </w:r>
      <w:r>
        <w:rPr>
          <w:rFonts w:ascii="Calibri" w:hAnsi="Calibri" w:cs="Calibri"/>
          <w:color w:val="000000"/>
          <w:szCs w:val="20"/>
        </w:rPr>
        <w:t>mposée d’un binôme de co-directeurs composé d’un représentant du CNRS et d’un représentant de l’Ifremer désignés respectivement par ces établissements.  </w:t>
      </w:r>
    </w:p>
    <w:p w14:paraId="59510586" w14:textId="317AC0BC" w:rsidR="005477A4" w:rsidRDefault="00284E6B">
      <w:r>
        <w:lastRenderedPageBreak/>
        <w:t xml:space="preserve">L’équipe de Direction s’appuie sur une responsable administrative, personnel CNRS et inclut également </w:t>
      </w:r>
      <w:r>
        <w:t xml:space="preserve">des Chargé de Mission mis à disposition, pour tout ou partie de leur temps de travail, par les établissements partenaires d’ILICO. </w:t>
      </w:r>
    </w:p>
    <w:p w14:paraId="144DD3C1" w14:textId="77777777" w:rsidR="005477A4" w:rsidRDefault="005477A4"/>
    <w:p w14:paraId="08C14013" w14:textId="77777777" w:rsidR="005477A4" w:rsidRDefault="00284E6B">
      <w:pPr>
        <w:spacing w:after="120"/>
        <w:rPr>
          <w:color w:val="000000"/>
        </w:rPr>
      </w:pPr>
      <w:r>
        <w:rPr>
          <w:color w:val="000000"/>
        </w:rPr>
        <w:t xml:space="preserve">Les organes de gouvernance de l’IR ILICO sont </w:t>
      </w:r>
    </w:p>
    <w:p w14:paraId="78C3CBC7" w14:textId="4D40A71D" w:rsidR="005477A4" w:rsidRDefault="00284E6B">
      <w:pPr>
        <w:pStyle w:val="Paragraphedeliste"/>
        <w:numPr>
          <w:ilvl w:val="0"/>
          <w:numId w:val="4"/>
        </w:numPr>
        <w:spacing w:after="200"/>
      </w:pPr>
      <w:r>
        <w:rPr>
          <w:color w:val="000000"/>
        </w:rPr>
        <w:t xml:space="preserve">Le Comité Inter-Organismes est l’organe stratégique et décisionnaire garant </w:t>
      </w:r>
      <w:r>
        <w:rPr>
          <w:color w:val="000000"/>
        </w:rPr>
        <w:t>de la conformité de la politique de l’IR ILICO avec les attentes des Parties signataires de la convention cadre ILICO : CNRS, Ifremer, IRD, SHOM, Sorbonne Université, le MNHN, La Rochelle Université et l’Université de Bretagne Occidentale, d’un représentan</w:t>
      </w:r>
      <w:r>
        <w:rPr>
          <w:color w:val="000000"/>
        </w:rPr>
        <w:t>t du Ministère de la Recherche et de l’Enseignement Supérieur et d’invités permanents.</w:t>
      </w:r>
    </w:p>
    <w:p w14:paraId="0A6D77F3" w14:textId="77777777" w:rsidR="005477A4" w:rsidRDefault="00284E6B">
      <w:pPr>
        <w:pStyle w:val="Paragraphedeliste"/>
        <w:numPr>
          <w:ilvl w:val="0"/>
          <w:numId w:val="4"/>
        </w:numPr>
        <w:spacing w:after="200"/>
      </w:pPr>
      <w:r>
        <w:rPr>
          <w:color w:val="000000"/>
        </w:rPr>
        <w:t>Le Conseil Scientifique est un organe consultatif garant de la pertinence et de la qualité scientifique des activités de l’IR ILICO.  </w:t>
      </w:r>
    </w:p>
    <w:p w14:paraId="249F530F" w14:textId="77777777" w:rsidR="005477A4" w:rsidRDefault="00284E6B">
      <w:pPr>
        <w:pStyle w:val="Paragraphedeliste"/>
        <w:numPr>
          <w:ilvl w:val="0"/>
          <w:numId w:val="4"/>
        </w:numPr>
        <w:spacing w:after="200"/>
      </w:pPr>
      <w:r>
        <w:t xml:space="preserve">Le Comité des Services </w:t>
      </w:r>
      <w:r>
        <w:t>d'Observation en charge de la mise en œuvre des activités d'observation de l'IR ILICO</w:t>
      </w:r>
    </w:p>
    <w:p w14:paraId="0F423F9E" w14:textId="77777777" w:rsidR="005477A4" w:rsidRDefault="00284E6B">
      <w:pPr>
        <w:pStyle w:val="Paragraphedeliste"/>
        <w:numPr>
          <w:ilvl w:val="0"/>
          <w:numId w:val="4"/>
        </w:numPr>
        <w:spacing w:after="200"/>
      </w:pPr>
      <w:r>
        <w:t xml:space="preserve">Le Comité des Parties Prenantes en charge </w:t>
      </w:r>
      <w:r>
        <w:rPr>
          <w:color w:val="000000"/>
        </w:rPr>
        <w:t xml:space="preserve">d’aider à définir et faire évoluer ses produits et services, ainsi qu’à développer une réflexion prospective générale pour l’IR </w:t>
      </w:r>
      <w:r>
        <w:rPr>
          <w:color w:val="000000"/>
        </w:rPr>
        <w:t>ILICO</w:t>
      </w:r>
      <w:r>
        <w:t xml:space="preserve"> </w:t>
      </w:r>
    </w:p>
    <w:p w14:paraId="7B8F49B7" w14:textId="77777777" w:rsidR="005477A4" w:rsidRDefault="005477A4"/>
    <w:p w14:paraId="430BEFF6" w14:textId="77777777" w:rsidR="005477A4" w:rsidRDefault="00284E6B">
      <w:pPr>
        <w:rPr>
          <w:b/>
          <w:bCs/>
        </w:rPr>
      </w:pPr>
      <w:r>
        <w:rPr>
          <w:b/>
          <w:bCs/>
        </w:rPr>
        <w:t xml:space="preserve">Mission de la Direction </w:t>
      </w:r>
    </w:p>
    <w:p w14:paraId="3C017B39" w14:textId="77777777" w:rsidR="005477A4" w:rsidRDefault="00284E6B">
      <w:pPr>
        <w:spacing w:after="200"/>
      </w:pPr>
      <w:r>
        <w:rPr>
          <w:rFonts w:ascii="Calibri" w:hAnsi="Calibri" w:cs="Calibri"/>
          <w:color w:val="000000"/>
          <w:szCs w:val="20"/>
        </w:rPr>
        <w:t>La Direction est responsable de la mise en œuvre des décisions du Comité Inter-Organismes et de l'utilisation des moyens communs de l’IR ILICO. </w:t>
      </w:r>
    </w:p>
    <w:p w14:paraId="1FE0FECB" w14:textId="77777777" w:rsidR="005477A4" w:rsidRDefault="00284E6B">
      <w:pPr>
        <w:spacing w:after="200"/>
      </w:pPr>
      <w:r>
        <w:rPr>
          <w:rFonts w:ascii="Calibri" w:hAnsi="Calibri" w:cs="Calibri"/>
          <w:color w:val="000000"/>
          <w:szCs w:val="20"/>
        </w:rPr>
        <w:t>L’équipe de Direction réalise les actions relevant de ses fonctions de :</w:t>
      </w:r>
    </w:p>
    <w:p w14:paraId="159B775B" w14:textId="4457F3ED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Proposer au Comité Inter-Organismes, et mettre en œuvre, la stratégie scientifique et technique de l’IR ILICO</w:t>
      </w:r>
    </w:p>
    <w:p w14:paraId="083EAE16" w14:textId="7D35B69E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Préparer une feuille de route annuelle soumise à l’approbation du Comité Inter-Organismes, et lui rendre compte de sa réalisation,</w:t>
      </w:r>
    </w:p>
    <w:p w14:paraId="67A9352B" w14:textId="10ABBE57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Coordonner la g</w:t>
      </w:r>
      <w:r>
        <w:rPr>
          <w:rFonts w:ascii="Calibri" w:hAnsi="Calibri" w:cs="Calibri"/>
          <w:color w:val="000000"/>
          <w:szCs w:val="20"/>
        </w:rPr>
        <w:t>estion des moyens communs de l’IR ILICO,</w:t>
      </w:r>
    </w:p>
    <w:p w14:paraId="61698EC8" w14:textId="27B1DBA9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Animer les organes de gouvernance de l’IR ILICO,</w:t>
      </w:r>
    </w:p>
    <w:p w14:paraId="29977888" w14:textId="7D4FE57F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Contribuer ou faire contribuer à l’animation scientifique,</w:t>
      </w:r>
    </w:p>
    <w:p w14:paraId="32F7C622" w14:textId="7D243597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Assurer la représentation de l’IR ILICO au sein des autres instances nationales, européennes et internation</w:t>
      </w:r>
      <w:r>
        <w:rPr>
          <w:rFonts w:ascii="Calibri" w:hAnsi="Calibri" w:cs="Calibri"/>
          <w:color w:val="000000"/>
          <w:szCs w:val="20"/>
        </w:rPr>
        <w:t>ales ayant à traiter de questions relevant des domaines de compétence de l’IR ILICO,</w:t>
      </w:r>
    </w:p>
    <w:p w14:paraId="6678E030" w14:textId="7128D6D1" w:rsidR="005477A4" w:rsidRDefault="00284E6B">
      <w:pPr>
        <w:numPr>
          <w:ilvl w:val="0"/>
          <w:numId w:val="2"/>
        </w:num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Piloter la communication institutionnelle et grand public sur l’IR ILICO.</w:t>
      </w:r>
    </w:p>
    <w:p w14:paraId="463D8979" w14:textId="77777777" w:rsidR="005477A4" w:rsidRDefault="005477A4">
      <w:pPr>
        <w:rPr>
          <w:rFonts w:ascii="Calibri" w:hAnsi="Calibri" w:cs="Calibri"/>
          <w:color w:val="000000"/>
          <w:szCs w:val="20"/>
        </w:rPr>
      </w:pPr>
    </w:p>
    <w:p w14:paraId="41CFC059" w14:textId="77777777" w:rsidR="005477A4" w:rsidRDefault="005477A4"/>
    <w:p w14:paraId="5A12E48E" w14:textId="46C5FE98" w:rsidR="005477A4" w:rsidRDefault="00284E6B">
      <w:pPr>
        <w:rPr>
          <w:rFonts w:ascii="Calibri" w:hAnsi="Calibri" w:cs="Calibri"/>
          <w:color w:val="000000"/>
          <w:szCs w:val="20"/>
        </w:rPr>
      </w:pPr>
      <w:r>
        <w:t>En tant que co-directeur, et en concertation étroite avec l’autre co-directeur désigné par l’If</w:t>
      </w:r>
      <w:r>
        <w:t xml:space="preserve">remer, vous assumerez le pilotage de l’équipe de direction pour la réalisation de toutes ces actions. </w:t>
      </w:r>
      <w:r>
        <w:rPr>
          <w:rFonts w:ascii="Calibri" w:hAnsi="Calibri" w:cs="Calibri"/>
          <w:color w:val="000000"/>
          <w:szCs w:val="20"/>
        </w:rPr>
        <w:t>Vous rendrez compte périodiquement de ces actions au Comité Inter-Organismes. Vous vous impliquerez personnellement dans les travaux de l’équipe de direct</w:t>
      </w:r>
      <w:r>
        <w:rPr>
          <w:rFonts w:ascii="Calibri" w:hAnsi="Calibri" w:cs="Calibri"/>
          <w:color w:val="000000"/>
          <w:szCs w:val="20"/>
        </w:rPr>
        <w:t xml:space="preserve">ion et dans l’animation de toutes les instances de gouvernance de l’IR, selon une répartition des tâches à définir entre vous au sein de l’équipe de direction. Vous veillerez en particulier à la bonne utilisation des moyens mis à disposition de l’IR et de </w:t>
      </w:r>
      <w:r>
        <w:rPr>
          <w:rFonts w:ascii="Calibri" w:hAnsi="Calibri" w:cs="Calibri"/>
          <w:color w:val="000000"/>
          <w:szCs w:val="20"/>
        </w:rPr>
        <w:t>ses SNO par le CNRS-INSU, et à la valorisation des actions et des données d’ILICO auprès de la communauté scientifique, des parties prenantes de l’IR mais aussi du grand public.</w:t>
      </w:r>
    </w:p>
    <w:p w14:paraId="21D70DB4" w14:textId="77777777" w:rsidR="005477A4" w:rsidRDefault="005477A4">
      <w:pPr>
        <w:rPr>
          <w:rFonts w:ascii="Calibri" w:hAnsi="Calibri" w:cs="Calibri"/>
          <w:color w:val="000000"/>
          <w:szCs w:val="20"/>
        </w:rPr>
      </w:pPr>
    </w:p>
    <w:p w14:paraId="52357E5E" w14:textId="77777777" w:rsidR="005477A4" w:rsidRDefault="00284E6B">
      <w:pPr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Les candidatures sont à envoyer à </w:t>
      </w:r>
      <w:hyperlink r:id="rId11" w:tooltip="mailto:recutement_dir-ir_ilico@services.cnrs.fr" w:history="1">
        <w:r>
          <w:rPr>
            <w:rStyle w:val="Lienhypertexte"/>
            <w:rFonts w:ascii="Calibri" w:hAnsi="Calibri" w:cs="Calibri"/>
            <w:szCs w:val="20"/>
          </w:rPr>
          <w:t>recutement_dir-ir_ilico@services.cnrs.fr</w:t>
        </w:r>
      </w:hyperlink>
      <w:r>
        <w:rPr>
          <w:rFonts w:ascii="Calibri" w:hAnsi="Calibri" w:cs="Calibri"/>
          <w:color w:val="000000"/>
          <w:szCs w:val="20"/>
        </w:rPr>
        <w:t xml:space="preserve"> d’ici le 15 mars 2023. L’acte de candidature comprendra une lettre de motivation et un curriculum. Toute demande d’information peut être adre</w:t>
      </w:r>
      <w:r>
        <w:rPr>
          <w:rFonts w:ascii="Calibri" w:hAnsi="Calibri" w:cs="Calibri"/>
          <w:color w:val="000000"/>
          <w:szCs w:val="20"/>
        </w:rPr>
        <w:t>ssée à la même adresse.</w:t>
      </w:r>
    </w:p>
    <w:p w14:paraId="693DBD07" w14:textId="77777777" w:rsidR="005477A4" w:rsidRDefault="00284E6B">
      <w:r>
        <w:t xml:space="preserve"> </w:t>
      </w:r>
    </w:p>
    <w:sectPr w:rsidR="0054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08727" w14:textId="77777777" w:rsidR="00284E6B" w:rsidRDefault="00284E6B">
      <w:r>
        <w:separator/>
      </w:r>
    </w:p>
  </w:endnote>
  <w:endnote w:type="continuationSeparator" w:id="0">
    <w:p w14:paraId="47195455" w14:textId="77777777" w:rsidR="00284E6B" w:rsidRDefault="0028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 New Roman (Titres CS)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8BDE" w14:textId="77777777" w:rsidR="00284E6B" w:rsidRDefault="00284E6B">
      <w:r>
        <w:separator/>
      </w:r>
    </w:p>
  </w:footnote>
  <w:footnote w:type="continuationSeparator" w:id="0">
    <w:p w14:paraId="3035090A" w14:textId="77777777" w:rsidR="00284E6B" w:rsidRDefault="0028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F87"/>
    <w:multiLevelType w:val="hybridMultilevel"/>
    <w:tmpl w:val="76588BE2"/>
    <w:lvl w:ilvl="0" w:tplc="F51027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41BC3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2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8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83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2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4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7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E1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43F1"/>
    <w:multiLevelType w:val="hybridMultilevel"/>
    <w:tmpl w:val="739E120A"/>
    <w:lvl w:ilvl="0" w:tplc="8EB09C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69CC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64C212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492ECC5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560774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23E291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642CFE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83AB57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48866B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DA66EB4"/>
    <w:multiLevelType w:val="hybridMultilevel"/>
    <w:tmpl w:val="764CE78E"/>
    <w:lvl w:ilvl="0" w:tplc="E82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583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8E1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FE8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58B4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F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AEAA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E30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B64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D4631"/>
    <w:multiLevelType w:val="multilevel"/>
    <w:tmpl w:val="2068BEF2"/>
    <w:lvl w:ilvl="0">
      <w:start w:val="1"/>
      <w:numFmt w:val="decimal"/>
      <w:pStyle w:val="Titre1"/>
      <w:lvlText w:val="Article %1"/>
      <w:lvlJc w:val="left"/>
      <w:pPr>
        <w:ind w:left="432" w:hanging="432"/>
      </w:pPr>
      <w:rPr>
        <w:rFonts w:asciiTheme="minorHAnsi" w:hAnsiTheme="minorHAnsi" w:cs="Times New Roman (Titres CS)" w:hint="default"/>
        <w:b/>
        <w:bCs/>
        <w:i w:val="0"/>
        <w:iCs w:val="0"/>
        <w:color w:val="4472C4" w:themeColor="accent1"/>
        <w:sz w:val="26"/>
        <w:szCs w:val="26"/>
      </w:rPr>
    </w:lvl>
    <w:lvl w:ilvl="1">
      <w:start w:val="1"/>
      <w:numFmt w:val="decimal"/>
      <w:pStyle w:val="Titre2"/>
      <w:lvlText w:val="Article %1.%2"/>
      <w:lvlJc w:val="left"/>
      <w:pPr>
        <w:ind w:left="718" w:hanging="576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vanish w:val="0"/>
        <w:color w:val="4472C4" w:themeColor="accent1"/>
        <w:spacing w:val="0"/>
        <w:position w:val="0"/>
        <w:sz w:val="22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pStyle w:val="Titre3"/>
      <w:lvlText w:val="Article %1.%2.%3"/>
      <w:lvlJc w:val="left"/>
      <w:pPr>
        <w:ind w:left="851" w:hanging="851"/>
      </w:pPr>
      <w:rPr>
        <w:rFonts w:ascii="Calibri" w:hAnsi="Calibri" w:hint="default"/>
        <w:b/>
        <w:bCs/>
        <w:i w:val="0"/>
        <w:iCs w:val="0"/>
        <w:color w:val="4472C4" w:themeColor="accent1"/>
        <w:sz w:val="20"/>
        <w:szCs w:val="22"/>
      </w:rPr>
    </w:lvl>
    <w:lvl w:ilvl="3">
      <w:start w:val="1"/>
      <w:numFmt w:val="decimal"/>
      <w:pStyle w:val="Titre4"/>
      <w:lvlText w:val="%1.%2.%3.%4"/>
      <w:lvlJc w:val="left"/>
      <w:pPr>
        <w:ind w:left="-271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-127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7" w:hanging="1152"/>
      </w:pPr>
      <w:rPr>
        <w:rFonts w:hint="default"/>
      </w:rPr>
    </w:lvl>
    <w:lvl w:ilvl="6">
      <w:start w:val="1"/>
      <w:numFmt w:val="decimal"/>
      <w:pStyle w:val="Titre7"/>
      <w:lvlText w:val="Annexe %7 "/>
      <w:lvlJc w:val="left"/>
      <w:pPr>
        <w:ind w:left="-1" w:hanging="1134"/>
      </w:pPr>
      <w:rPr>
        <w:rFonts w:ascii="Calibri" w:hAnsi="Calibri" w:hint="default"/>
        <w:b/>
        <w:bCs/>
        <w:i w:val="0"/>
        <w:iCs w:val="0"/>
        <w:color w:val="4472C4" w:themeColor="accent1"/>
        <w:sz w:val="26"/>
        <w:szCs w:val="26"/>
      </w:rPr>
    </w:lvl>
    <w:lvl w:ilvl="7">
      <w:start w:val="1"/>
      <w:numFmt w:val="decimal"/>
      <w:pStyle w:val="Titre8"/>
      <w:lvlText w:val="%1.%2.%3.%4.%5.%6.%7.%8"/>
      <w:lvlJc w:val="left"/>
      <w:pPr>
        <w:ind w:left="305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49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A4"/>
    <w:rsid w:val="00284E6B"/>
    <w:rsid w:val="005477A4"/>
    <w:rsid w:val="0060781A"/>
    <w:rsid w:val="00621713"/>
    <w:rsid w:val="00C418A7"/>
    <w:rsid w:val="00E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110"/>
  <w15:docId w15:val="{AAE8651A-F9AA-2F40-9573-713228A6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line="276" w:lineRule="auto"/>
      <w:ind w:left="431" w:hanging="431"/>
      <w:outlineLvl w:val="0"/>
    </w:pPr>
    <w:rPr>
      <w:rFonts w:eastAsiaTheme="majorEastAsia" w:cstheme="majorBidi"/>
      <w:b/>
      <w:bCs/>
      <w:color w:val="4472C4" w:themeColor="accent1"/>
      <w:sz w:val="26"/>
      <w:lang w:eastAsia="en-GB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eastAsiaTheme="majorEastAsia" w:cs="Times New Roman (Titres CS)"/>
      <w:b/>
      <w:bCs/>
      <w:color w:val="4472C4" w:themeColor="accent1"/>
      <w:szCs w:val="26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120" w:after="120"/>
      <w:outlineLvl w:val="2"/>
    </w:pPr>
    <w:rPr>
      <w:b/>
      <w:color w:val="4472C4" w:themeColor="accent1"/>
      <w:lang w:eastAsia="en-GB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spacing w:before="120" w:after="120"/>
      <w:outlineLvl w:val="3"/>
    </w:pPr>
    <w:rPr>
      <w:rFonts w:ascii="Times New Roman" w:hAnsi="Times New Roman"/>
      <w:i/>
      <w:lang w:eastAsia="en-GB"/>
    </w:rPr>
  </w:style>
  <w:style w:type="paragraph" w:styleId="Titre5">
    <w:name w:val="heading 5"/>
    <w:basedOn w:val="Normal"/>
    <w:next w:val="Normal"/>
    <w:link w:val="Titre5C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lang w:eastAsia="en-GB"/>
    </w:rPr>
  </w:style>
  <w:style w:type="paragraph" w:styleId="Titre6">
    <w:name w:val="heading 6"/>
    <w:basedOn w:val="Normal"/>
    <w:next w:val="Normal"/>
    <w:link w:val="Titre6C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lang w:eastAsia="en-GB"/>
    </w:rPr>
  </w:style>
  <w:style w:type="paragraph" w:styleId="Titre7">
    <w:name w:val="heading 7"/>
    <w:basedOn w:val="Normal"/>
    <w:next w:val="Normal"/>
    <w:link w:val="Titre7Car"/>
    <w:uiPriority w:val="9"/>
    <w:qFormat/>
    <w:pPr>
      <w:numPr>
        <w:ilvl w:val="6"/>
        <w:numId w:val="1"/>
      </w:numPr>
      <w:spacing w:before="240" w:after="60"/>
      <w:outlineLvl w:val="6"/>
    </w:pPr>
    <w:rPr>
      <w:b/>
      <w:color w:val="4472C4" w:themeColor="accent1"/>
      <w:sz w:val="26"/>
      <w:lang w:eastAsia="en-GB"/>
    </w:rPr>
  </w:style>
  <w:style w:type="paragraph" w:styleId="Titre8">
    <w:name w:val="heading 8"/>
    <w:basedOn w:val="Normal"/>
    <w:next w:val="Normal"/>
    <w:link w:val="Titre8C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eastAsia="en-GB"/>
    </w:rPr>
  </w:style>
  <w:style w:type="paragraph" w:styleId="Titre9">
    <w:name w:val="heading 9"/>
    <w:basedOn w:val="Normal"/>
    <w:next w:val="Normal"/>
    <w:link w:val="Titre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eastAsiaTheme="majorEastAsia" w:cstheme="majorBidi"/>
      <w:b/>
      <w:bCs/>
      <w:color w:val="4472C4" w:themeColor="accent1"/>
      <w:sz w:val="26"/>
      <w:szCs w:val="24"/>
      <w:lang w:eastAsia="en-GB"/>
    </w:rPr>
  </w:style>
  <w:style w:type="character" w:customStyle="1" w:styleId="Titre2Car">
    <w:name w:val="Titre 2 Car"/>
    <w:basedOn w:val="Policepardfaut"/>
    <w:link w:val="Titre2"/>
    <w:rPr>
      <w:rFonts w:eastAsiaTheme="majorEastAsia" w:cs="Times New Roman (Titres CS)"/>
      <w:b/>
      <w:bCs/>
      <w:color w:val="4472C4" w:themeColor="accent1"/>
      <w:szCs w:val="26"/>
      <w:lang w:eastAsia="fr-FR"/>
    </w:rPr>
  </w:style>
  <w:style w:type="character" w:customStyle="1" w:styleId="Titre3Car">
    <w:name w:val="Titre 3 Car"/>
    <w:basedOn w:val="Policepardfaut"/>
    <w:link w:val="Titre3"/>
    <w:rPr>
      <w:rFonts w:eastAsia="Times New Roman" w:cs="Times New Roman"/>
      <w:b/>
      <w:color w:val="4472C4" w:themeColor="accent1"/>
      <w:szCs w:val="24"/>
      <w:lang w:eastAsia="en-GB"/>
    </w:rPr>
  </w:style>
  <w:style w:type="character" w:customStyle="1" w:styleId="Titre4Car">
    <w:name w:val="Titre 4 Car"/>
    <w:basedOn w:val="Policepardfaut"/>
    <w:link w:val="Titre4"/>
    <w:rPr>
      <w:rFonts w:ascii="Times New Roman" w:eastAsia="Times New Roman" w:hAnsi="Times New Roman" w:cs="Times New Roman"/>
      <w:i/>
      <w:szCs w:val="24"/>
      <w:lang w:eastAsia="en-GB"/>
    </w:rPr>
  </w:style>
  <w:style w:type="character" w:customStyle="1" w:styleId="Titre5Car">
    <w:name w:val="Titre 5 Car"/>
    <w:basedOn w:val="Policepardfaut"/>
    <w:link w:val="Titre5"/>
    <w:uiPriority w:val="9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Titre6Car">
    <w:name w:val="Titre 6 Car"/>
    <w:basedOn w:val="Policepardfaut"/>
    <w:link w:val="Titre6"/>
    <w:uiPriority w:val="9"/>
    <w:rPr>
      <w:rFonts w:ascii="Times New Roman" w:eastAsia="Times New Roman" w:hAnsi="Times New Roman" w:cs="Times New Roman"/>
      <w:i/>
      <w:szCs w:val="24"/>
      <w:lang w:eastAsia="en-GB"/>
    </w:rPr>
  </w:style>
  <w:style w:type="character" w:customStyle="1" w:styleId="Titre7Car">
    <w:name w:val="Titre 7 Car"/>
    <w:basedOn w:val="Policepardfaut"/>
    <w:link w:val="Titre7"/>
    <w:uiPriority w:val="9"/>
    <w:rPr>
      <w:rFonts w:eastAsia="Times New Roman" w:cs="Times New Roman"/>
      <w:b/>
      <w:color w:val="4472C4" w:themeColor="accent1"/>
      <w:sz w:val="26"/>
      <w:szCs w:val="24"/>
      <w:lang w:eastAsia="en-GB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Times New Roman" w:hAnsi="Arial" w:cs="Times New Roman"/>
      <w:i/>
      <w:szCs w:val="24"/>
      <w:lang w:eastAsia="en-GB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Times New Roman"/>
      <w:i/>
      <w:sz w:val="18"/>
      <w:szCs w:val="24"/>
      <w:lang w:eastAsia="en-GB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utement_dir-ir_ilico@services.cnr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2AD64-B72B-463E-885D-570D45EF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PAILLET, Ifremer Brest PDG-ODE-LOPS, 02 9</dc:creator>
  <cp:keywords/>
  <dc:description/>
  <cp:lastModifiedBy>AMBLARD Julie</cp:lastModifiedBy>
  <cp:revision>2</cp:revision>
  <dcterms:created xsi:type="dcterms:W3CDTF">2023-02-24T09:17:00Z</dcterms:created>
  <dcterms:modified xsi:type="dcterms:W3CDTF">2023-02-24T09:17:00Z</dcterms:modified>
</cp:coreProperties>
</file>